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74" w:rsidRDefault="000B2674" w:rsidP="000B2674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9EECBC">
            <wp:simplePos x="0" y="0"/>
            <wp:positionH relativeFrom="page">
              <wp:posOffset>142875</wp:posOffset>
            </wp:positionH>
            <wp:positionV relativeFrom="paragraph">
              <wp:posOffset>-285750</wp:posOffset>
            </wp:positionV>
            <wp:extent cx="3237630" cy="848397"/>
            <wp:effectExtent l="0" t="0" r="1270" b="8890"/>
            <wp:wrapNone/>
            <wp:docPr id="1" name="Picture 1" descr="C:\Users\bhp\AppData\Local\Packages\Microsoft.Windows.Photos_8wekyb3d8bbwe\TempState\ShareServiceTempFolder\RMS23-full-col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p\AppData\Local\Packages\Microsoft.Windows.Photos_8wekyb3d8bbwe\TempState\ShareServiceTempFolder\RMS23-full-colo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30" cy="84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674" w:rsidRDefault="00506E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879B0" wp14:editId="208113CE">
                <wp:simplePos x="0" y="0"/>
                <wp:positionH relativeFrom="page">
                  <wp:align>right</wp:align>
                </wp:positionH>
                <wp:positionV relativeFrom="paragraph">
                  <wp:posOffset>313690</wp:posOffset>
                </wp:positionV>
                <wp:extent cx="779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52400"/>
                        </a:xfrm>
                        <a:prstGeom prst="rect">
                          <a:avLst/>
                        </a:prstGeom>
                        <a:solidFill>
                          <a:srgbClr val="A6CE39"/>
                        </a:solidFill>
                        <a:ln>
                          <a:solidFill>
                            <a:srgbClr val="A6C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98A6" id="Rectangle 3" o:spid="_x0000_s1026" style="position:absolute;margin-left:562.3pt;margin-top:24.7pt;width:613.5pt;height:1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NQmAIAAK4FAAAOAAAAZHJzL2Uyb0RvYy54bWysVEtv2zAMvg/YfxB0X+2kSR9BnSJI12FA&#10;0RZth54VWUoMyKJGKXGyXz9KfrTrih2K5aCIIvmR/Ezy4nJfG7ZT6CuwBR8d5ZwpK6Gs7LrgP56u&#10;v5xx5oOwpTBgVcEPyvPL+edPF42bqTFswJQKGYFYP2tcwTchuFmWeblRtfBH4JQlpQasRSAR11mJ&#10;oiH02mTjPD/JGsDSIUjlPb1etUo+T/haKxnutPYqMFNwyi2kE9O5imc2vxCzNQq3qWSXhvhAFrWo&#10;LAUdoK5EEGyL1V9QdSURPOhwJKHOQOtKqlQDVTPK31TzuBFOpVqIHO8Gmvz/g5W3u3tkVVnwY86s&#10;qOkTPRBpwq6NYseRnsb5GVk9unvsJE/XWOteYx3/qQq2T5QeBkrVPjBJj6en56PJlJiXpBtNx5M8&#10;cZ69eDv04ZuCmsVLwZGiJybF7sYHikimvUkM5sFU5XVlTBJwvVoaZDtBn3dxsvx6fB5TJpc/zIz9&#10;mCfhRNcsUtAWnW7hYFQENPZBaeKOyhynlFPXqiEhIaWyYdSqNqJUbZ7TnH59mrHPo0dKOgFGZE31&#10;DdgdQG/ZgvTYbbWdfXRVqekH5/xfibXOg0eKDDYMznVlAd8DMFRVF7m170lqqYksraA8UGchtCPn&#10;nbyu6APfCB/uBdKMUU/Q3gh3dGgDTcGhu3G2Afz13nu0p9YnLWcNzWzB/c+tQMWZ+W5pKKjVJnHI&#10;kzCZno5JwNea1WuN3dZLoL4Z0YZyMl2jfTD9VSPUz7ReFjEqqYSVFLvgMmAvLEO7S2hBSbVYJDMa&#10;bCfCjX10MoJHVmMDP+2fBbquywPNxy308y1mb5q9tY2eFhbbALpKk/DCa8c3LYXUON0Ci1vntZys&#10;Xtbs/DcAAAD//wMAUEsDBBQABgAIAAAAIQCoQnpq2wAAAAcBAAAPAAAAZHJzL2Rvd25yZXYueG1s&#10;TI/BTsMwEETvSPyDtUjcqEMakRKyqVAFQuJGQZzdeEnS2uvIdtPw97gnetyZ0czbej1bIybyYXCM&#10;cL/IQBC3Tg/cIXx9vt6tQISoWCvjmBB+KcC6ub6qVaXdiT9o2sZOpBIOlULoYxwrKUPbk1Vh4Ubi&#10;5P04b1VMp++k9uqUyq2ReZY9SKsGTgu9GmnTU3vYHi3CZChsVuXBx/Y9s/sXt/ze2zfE25v5+QlE&#10;pDn+h+GMn9ChSUw7d2QdhEFIj0SE4rEAcXbzvEzKDqFcFiCbWl7yN38AAAD//wMAUEsBAi0AFAAG&#10;AAgAAAAhALaDOJL+AAAA4QEAABMAAAAAAAAAAAAAAAAAAAAAAFtDb250ZW50X1R5cGVzXS54bWxQ&#10;SwECLQAUAAYACAAAACEAOP0h/9YAAACUAQAACwAAAAAAAAAAAAAAAAAvAQAAX3JlbHMvLnJlbHNQ&#10;SwECLQAUAAYACAAAACEAo3rDUJgCAACuBQAADgAAAAAAAAAAAAAAAAAuAgAAZHJzL2Uyb0RvYy54&#10;bWxQSwECLQAUAAYACAAAACEAqEJ6atsAAAAHAQAADwAAAAAAAAAAAAAAAADyBAAAZHJzL2Rvd25y&#10;ZXYueG1sUEsFBgAAAAAEAAQA8wAAAPoFAAAAAA==&#10;" fillcolor="#a6ce39" strokecolor="#a6ce39" strokeweight="1pt">
                <w10:wrap anchorx="page"/>
              </v:rect>
            </w:pict>
          </mc:Fallback>
        </mc:AlternateContent>
      </w:r>
    </w:p>
    <w:p w:rsidR="000B2674" w:rsidRDefault="00506E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170815</wp:posOffset>
                </wp:positionV>
                <wp:extent cx="78105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790575"/>
                        </a:xfrm>
                        <a:prstGeom prst="rect">
                          <a:avLst/>
                        </a:prstGeom>
                        <a:solidFill>
                          <a:srgbClr val="00659E"/>
                        </a:solidFill>
                        <a:ln>
                          <a:solidFill>
                            <a:srgbClr val="0065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E61" w:rsidRDefault="00506E61" w:rsidP="00506E61">
                            <w:pPr>
                              <w:jc w:val="center"/>
                            </w:pPr>
                          </w:p>
                          <w:p w:rsidR="00506E61" w:rsidRPr="00506E61" w:rsidRDefault="00506E61" w:rsidP="00506E61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 w:rsidRPr="00506E61">
                              <w:rPr>
                                <w:sz w:val="48"/>
                              </w:rPr>
                              <w:t>Hurricane Preparedness and Response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3.8pt;margin-top:13.45pt;width:61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EGlwIAALkFAAAOAAAAZHJzL2Uyb0RvYy54bWysVFFP2zAQfp+0/2D5fSStKB0VKapgTJMQ&#10;IGDi2XXsJpLj885uk+7X7+ykgQHaA9qL4/PdfXf35e7OzrvGsJ1CX4Mt+OQo50xZCWVtNwX/+Xj1&#10;5StnPghbCgNWFXyvPD9ffv501rqFmkIFplTICMT6ResKXoXgFlnmZaUa4Y/AKUtKDdiIQCJushJF&#10;S+iNyaZ5fpK1gKVDkMp7er3slXyZ8LVWMtxq7VVgpuCUW0gnpnMdz2x5JhYbFK6q5ZCG+EAWjagt&#10;BR2hLkUQbIv1G6imlggedDiS0GSgdS1VqoGqmeSvqnmohFOpFiLHu5Em//9g5c3uDlldFnzKmRUN&#10;/aJ7Ik3YjVFsGulpnV+Q1YO7w0HydI21dhqb+KUqWJco3Y+Uqi4wSY/zr5N8lhPzknTz03w2n0XQ&#10;7NnboQ/fFTQsXgqOFD0xKXbXPvSmB5MYzIOpy6vamCTgZn1hkO1E/L35yez024D+l5mxH/OkLKNr&#10;Finoi063sDcqAhp7rzRxR2VOU8qpa9WYkJBS2TDpVZUoVZ8n0UGE9JWNHomSBBiRNdU3Yg8AcSLe&#10;Yvcwg310VanpR+f8X4n1zqNHigw2jM5NbQHfAzBU1RC5tz+Q1FMTWQrduiOTeF1DuacmQ+inzzt5&#10;VdO/vhY+3AmkcaP2oBUSbunQBtqCw3DjrAL8/d57tKcpIC1nLY1vwf2vrUDFmflhaT5OJ8fHcd6T&#10;cDybT0nAl5r1S43dNhdALTShZeVkukb7YA5XjdA80aZZxaikElZS7ILLgAfhIvRrhXaVVKtVMqMZ&#10;dyJc2wcnI3gkOPbyY/ck0A0NH2hUbuAw6mLxqu972+hpYbUNoOs0FM+8DtTTfkg9NOyyuIBeysnq&#10;eeMu/wAAAP//AwBQSwMEFAAGAAgAAAAhAKktNWfdAAAACAEAAA8AAABkcnMvZG93bnJldi54bWxM&#10;j09PwzAMxe9IfIfISNxYug4mKE2naYIT/7SBxNVrTFuROFWTbuXb453gZvs9Pf9euZq8UwcaYhfY&#10;wHyWgSKug+24MfDx/nh1CyomZIsuMBn4oQir6vysxMKGI2/psEuNkhCOBRpoU+oLrWPdksc4Cz2x&#10;aF9h8JhkHRptBzxKuHc6z7Kl9tixfGixp01L9fdu9AYe4nrxtnFP+Jq5LeXPYXz55NGYy4tpfQ8q&#10;0ZT+zHDCF3SohGkfRrZROQNSJBnIl3egTmq+yOSyl+lmfg26KvX/AtUvAAAA//8DAFBLAQItABQA&#10;BgAIAAAAIQC2gziS/gAAAOEBAAATAAAAAAAAAAAAAAAAAAAAAABbQ29udGVudF9UeXBlc10ueG1s&#10;UEsBAi0AFAAGAAgAAAAhADj9If/WAAAAlAEAAAsAAAAAAAAAAAAAAAAALwEAAF9yZWxzLy5yZWxz&#10;UEsBAi0AFAAGAAgAAAAhAOpL0QaXAgAAuQUAAA4AAAAAAAAAAAAAAAAALgIAAGRycy9lMm9Eb2Mu&#10;eG1sUEsBAi0AFAAGAAgAAAAhAKktNWfdAAAACAEAAA8AAAAAAAAAAAAAAAAA8QQAAGRycy9kb3du&#10;cmV2LnhtbFBLBQYAAAAABAAEAPMAAAD7BQAAAAA=&#10;" fillcolor="#00659e" strokecolor="#00659e" strokeweight="1pt">
                <v:textbox>
                  <w:txbxContent>
                    <w:p w:rsidR="00506E61" w:rsidRDefault="00506E61" w:rsidP="00506E61">
                      <w:pPr>
                        <w:jc w:val="center"/>
                      </w:pPr>
                    </w:p>
                    <w:p w:rsidR="00506E61" w:rsidRPr="00506E61" w:rsidRDefault="00506E61" w:rsidP="00506E61">
                      <w:pPr>
                        <w:jc w:val="right"/>
                        <w:rPr>
                          <w:sz w:val="48"/>
                        </w:rPr>
                      </w:pPr>
                      <w:r w:rsidRPr="00506E61">
                        <w:rPr>
                          <w:sz w:val="48"/>
                        </w:rPr>
                        <w:t>Hurricane Preparedness and Response Plan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2674" w:rsidRDefault="000B2674"/>
    <w:p w:rsidR="000B2674" w:rsidRDefault="000B2674"/>
    <w:p w:rsidR="000B2674" w:rsidRDefault="000B2674"/>
    <w:p w:rsidR="0020092B" w:rsidRDefault="00506E61" w:rsidP="00506E61">
      <w:pPr>
        <w:rPr>
          <w:sz w:val="20"/>
          <w:szCs w:val="20"/>
        </w:rPr>
      </w:pPr>
      <w:r w:rsidRPr="00766110">
        <w:rPr>
          <w:sz w:val="20"/>
          <w:szCs w:val="20"/>
        </w:rPr>
        <w:t xml:space="preserve">Having clear, actionable plans in place before a hurricane strikes can help your organization minimize damage to people and property and recover as quickly as possible. </w:t>
      </w:r>
    </w:p>
    <w:p w:rsidR="00506E61" w:rsidRPr="00766110" w:rsidRDefault="00506E61" w:rsidP="00506E61">
      <w:pPr>
        <w:rPr>
          <w:sz w:val="20"/>
          <w:szCs w:val="20"/>
        </w:rPr>
      </w:pPr>
      <w:r w:rsidRPr="00766110">
        <w:rPr>
          <w:sz w:val="20"/>
          <w:szCs w:val="20"/>
        </w:rPr>
        <w:t>The checklist on the following pages is meant as a starting point for the types of issues that your organization should be preparing for in advance of a storm as hurricane season gets underway. Plans should be complete well before a storm materializes and ready to be implemented at the time of a loss, taking into consideration worst-case scenarios, and should be scalable to a specific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170"/>
        <w:gridCol w:w="1170"/>
        <w:gridCol w:w="895"/>
      </w:tblGrid>
      <w:tr w:rsidR="00506E61" w:rsidTr="00766110">
        <w:trPr>
          <w:tblHeader/>
        </w:trPr>
        <w:tc>
          <w:tcPr>
            <w:tcW w:w="7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E61" w:rsidRPr="00506E61" w:rsidRDefault="00506E61" w:rsidP="00506E61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06E61" w:rsidRPr="00506E61" w:rsidRDefault="00506E61" w:rsidP="00506E61">
            <w:pPr>
              <w:jc w:val="center"/>
              <w:rPr>
                <w:sz w:val="15"/>
                <w:szCs w:val="15"/>
              </w:rPr>
            </w:pPr>
            <w:r w:rsidRPr="00506E61">
              <w:rPr>
                <w:sz w:val="15"/>
                <w:szCs w:val="15"/>
              </w:rPr>
              <w:t xml:space="preserve">Not </w:t>
            </w:r>
            <w:r>
              <w:rPr>
                <w:sz w:val="15"/>
                <w:szCs w:val="15"/>
              </w:rPr>
              <w:t>s</w:t>
            </w:r>
            <w:r w:rsidRPr="00506E61">
              <w:rPr>
                <w:sz w:val="15"/>
                <w:szCs w:val="15"/>
              </w:rPr>
              <w:t>tarted</w:t>
            </w:r>
          </w:p>
        </w:tc>
        <w:tc>
          <w:tcPr>
            <w:tcW w:w="1170" w:type="dxa"/>
          </w:tcPr>
          <w:p w:rsidR="00506E61" w:rsidRPr="00506E61" w:rsidRDefault="00506E61" w:rsidP="00506E6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progress</w:t>
            </w:r>
          </w:p>
        </w:tc>
        <w:tc>
          <w:tcPr>
            <w:tcW w:w="895" w:type="dxa"/>
          </w:tcPr>
          <w:p w:rsidR="00506E61" w:rsidRPr="00506E61" w:rsidRDefault="00506E61" w:rsidP="00506E6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Complete</w:t>
            </w:r>
          </w:p>
        </w:tc>
      </w:tr>
      <w:tr w:rsidR="00D548CD" w:rsidTr="00047C1F">
        <w:tc>
          <w:tcPr>
            <w:tcW w:w="10790" w:type="dxa"/>
            <w:gridSpan w:val="4"/>
            <w:vAlign w:val="center"/>
          </w:tcPr>
          <w:p w:rsidR="00D548CD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b/>
                <w:color w:val="00659E"/>
                <w:spacing w:val="3"/>
                <w:sz w:val="18"/>
                <w:szCs w:val="18"/>
              </w:rPr>
              <w:t>Evaluate your physical and operational exposure to hurricane losses</w:t>
            </w:r>
          </w:p>
        </w:tc>
      </w:tr>
      <w:tr w:rsidR="00506E61" w:rsidTr="00047C1F">
        <w:tc>
          <w:tcPr>
            <w:tcW w:w="7555" w:type="dxa"/>
            <w:vAlign w:val="center"/>
          </w:tcPr>
          <w:p w:rsidR="00506E61" w:rsidRPr="00047C1F" w:rsidRDefault="00506E61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Determine what physical assets are at risk (see property loss control and property security below).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06E61" w:rsidTr="00047C1F">
        <w:tc>
          <w:tcPr>
            <w:tcW w:w="7555" w:type="dxa"/>
            <w:vAlign w:val="center"/>
          </w:tcPr>
          <w:p w:rsidR="00506E61" w:rsidRPr="00047C1F" w:rsidRDefault="00506E61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Identify potential service interruption issues and impacts.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06E61" w:rsidTr="00047C1F">
        <w:trPr>
          <w:trHeight w:val="260"/>
        </w:trPr>
        <w:tc>
          <w:tcPr>
            <w:tcW w:w="7555" w:type="dxa"/>
            <w:vAlign w:val="center"/>
          </w:tcPr>
          <w:p w:rsidR="00506E61" w:rsidRPr="00047C1F" w:rsidRDefault="00506E61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Consider potential impacts of damage to infrastructure and transportation networks.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D548CD" w:rsidTr="00047C1F">
        <w:tc>
          <w:tcPr>
            <w:tcW w:w="10790" w:type="dxa"/>
            <w:gridSpan w:val="4"/>
            <w:vAlign w:val="center"/>
          </w:tcPr>
          <w:p w:rsidR="00D548CD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b/>
                <w:color w:val="00659E"/>
                <w:sz w:val="18"/>
                <w:szCs w:val="18"/>
              </w:rPr>
              <w:t xml:space="preserve">Review your property </w:t>
            </w:r>
            <w:r w:rsidR="00516321">
              <w:rPr>
                <w:rFonts w:ascii="Arial" w:hAnsi="Arial" w:cs="Arial"/>
                <w:b/>
                <w:color w:val="00659E"/>
                <w:sz w:val="18"/>
                <w:szCs w:val="18"/>
              </w:rPr>
              <w:t>coverage contract</w:t>
            </w:r>
          </w:p>
        </w:tc>
      </w:tr>
      <w:tr w:rsidR="00506E61" w:rsidTr="00047C1F">
        <w:tc>
          <w:tcPr>
            <w:tcW w:w="7555" w:type="dxa"/>
            <w:vAlign w:val="center"/>
          </w:tcPr>
          <w:p w:rsidR="00506E61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Review values and how they might impact recovery and deductibles.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06E61" w:rsidTr="00047C1F">
        <w:trPr>
          <w:trHeight w:val="188"/>
        </w:trPr>
        <w:tc>
          <w:tcPr>
            <w:tcW w:w="7555" w:type="dxa"/>
            <w:vAlign w:val="center"/>
          </w:tcPr>
          <w:p w:rsidR="00506E61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Understand the extent of </w:t>
            </w:r>
            <w:r w:rsidR="00516321">
              <w:rPr>
                <w:rFonts w:ascii="Arial" w:hAnsi="Arial" w:cs="Arial"/>
                <w:sz w:val="18"/>
                <w:szCs w:val="18"/>
              </w:rPr>
              <w:t xml:space="preserve">contractual </w:t>
            </w:r>
            <w:r w:rsidRPr="00047C1F">
              <w:rPr>
                <w:rFonts w:ascii="Arial" w:hAnsi="Arial" w:cs="Arial"/>
                <w:sz w:val="18"/>
                <w:szCs w:val="18"/>
              </w:rPr>
              <w:t>limit(s) and sub-limits(s).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06E61" w:rsidTr="00047C1F">
        <w:tc>
          <w:tcPr>
            <w:tcW w:w="7555" w:type="dxa"/>
            <w:vAlign w:val="center"/>
          </w:tcPr>
          <w:p w:rsidR="00506E61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Determine if flood is a covered peril or excluded</w:t>
            </w:r>
            <w:r w:rsidR="00963CD0">
              <w:rPr>
                <w:rFonts w:ascii="Arial" w:hAnsi="Arial" w:cs="Arial"/>
                <w:sz w:val="18"/>
                <w:szCs w:val="18"/>
              </w:rPr>
              <w:t xml:space="preserve"> for specific locations</w:t>
            </w:r>
            <w:r w:rsidRPr="00047C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06E61" w:rsidTr="00047C1F">
        <w:tc>
          <w:tcPr>
            <w:tcW w:w="7555" w:type="dxa"/>
            <w:vAlign w:val="center"/>
          </w:tcPr>
          <w:p w:rsidR="00506E61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Determine how storm surge is defined in the </w:t>
            </w:r>
            <w:r w:rsidR="00516321">
              <w:rPr>
                <w:rFonts w:ascii="Arial" w:hAnsi="Arial" w:cs="Arial"/>
                <w:sz w:val="18"/>
                <w:szCs w:val="18"/>
              </w:rPr>
              <w:t>coverage contract</w:t>
            </w:r>
            <w:r w:rsidRPr="00047C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06E61" w:rsidTr="00047C1F">
        <w:tc>
          <w:tcPr>
            <w:tcW w:w="7555" w:type="dxa"/>
            <w:vAlign w:val="center"/>
          </w:tcPr>
          <w:p w:rsidR="00506E61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Examine business interruption</w:t>
            </w:r>
            <w:r w:rsidR="00AE3D72">
              <w:rPr>
                <w:rFonts w:ascii="Arial" w:hAnsi="Arial" w:cs="Arial"/>
                <w:sz w:val="18"/>
                <w:szCs w:val="18"/>
              </w:rPr>
              <w:t xml:space="preserve"> (business income, rental income or extra expense)</w:t>
            </w:r>
            <w:r w:rsidRPr="00047C1F">
              <w:rPr>
                <w:rFonts w:ascii="Arial" w:hAnsi="Arial" w:cs="Arial"/>
                <w:sz w:val="18"/>
                <w:szCs w:val="18"/>
              </w:rPr>
              <w:t xml:space="preserve"> coverage details.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06E61" w:rsidTr="00047C1F">
        <w:tc>
          <w:tcPr>
            <w:tcW w:w="7555" w:type="dxa"/>
            <w:vAlign w:val="center"/>
          </w:tcPr>
          <w:p w:rsidR="00506E61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516321">
              <w:rPr>
                <w:rFonts w:ascii="Arial" w:hAnsi="Arial" w:cs="Arial"/>
                <w:sz w:val="18"/>
                <w:szCs w:val="18"/>
              </w:rPr>
              <w:t>coverage</w:t>
            </w:r>
            <w:r w:rsidRPr="00047C1F">
              <w:rPr>
                <w:rFonts w:ascii="Arial" w:hAnsi="Arial" w:cs="Arial"/>
                <w:sz w:val="18"/>
                <w:szCs w:val="18"/>
              </w:rPr>
              <w:t xml:space="preserve"> deductibles and loss-reporting requirements as they can be complex for </w:t>
            </w:r>
            <w:r w:rsidR="00963CD0">
              <w:rPr>
                <w:rFonts w:ascii="Arial" w:hAnsi="Arial" w:cs="Arial"/>
                <w:sz w:val="18"/>
                <w:szCs w:val="18"/>
              </w:rPr>
              <w:t>catastrophic</w:t>
            </w:r>
            <w:r w:rsidRPr="00047C1F">
              <w:rPr>
                <w:rFonts w:ascii="Arial" w:hAnsi="Arial" w:cs="Arial"/>
                <w:sz w:val="18"/>
                <w:szCs w:val="18"/>
              </w:rPr>
              <w:t xml:space="preserve"> losses and to avoid confusion and surprises.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06E61" w:rsidTr="00047C1F">
        <w:tc>
          <w:tcPr>
            <w:tcW w:w="7555" w:type="dxa"/>
            <w:vAlign w:val="center"/>
          </w:tcPr>
          <w:p w:rsidR="00506E61" w:rsidRPr="00047C1F" w:rsidRDefault="00D548CD" w:rsidP="00047C1F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Know how your propert</w:t>
            </w:r>
            <w:r w:rsidR="005E3EE0">
              <w:rPr>
                <w:rFonts w:ascii="Arial" w:hAnsi="Arial" w:cs="Arial"/>
                <w:sz w:val="18"/>
                <w:szCs w:val="18"/>
              </w:rPr>
              <w:t>ies are</w:t>
            </w:r>
            <w:r w:rsidRPr="00047C1F">
              <w:rPr>
                <w:rFonts w:ascii="Arial" w:hAnsi="Arial" w:cs="Arial"/>
                <w:sz w:val="18"/>
                <w:szCs w:val="18"/>
              </w:rPr>
              <w:t xml:space="preserve"> valued under the </w:t>
            </w:r>
            <w:r w:rsidR="00516321">
              <w:rPr>
                <w:rFonts w:ascii="Arial" w:hAnsi="Arial" w:cs="Arial"/>
                <w:sz w:val="18"/>
                <w:szCs w:val="18"/>
              </w:rPr>
              <w:t>coverage contract</w:t>
            </w:r>
            <w:r w:rsidRPr="00047C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506E61" w:rsidRPr="00766110" w:rsidRDefault="00506E61" w:rsidP="00047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Determine if all asset values are up-to-date to reflect current values for potential claims involving property damage, business interruption and other coverage areas. 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Understand any restrictions on timing and location of rebuilding.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Understand how code requirements are addressed in the </w:t>
            </w:r>
            <w:r>
              <w:rPr>
                <w:rFonts w:ascii="Arial" w:hAnsi="Arial" w:cs="Arial"/>
                <w:sz w:val="18"/>
                <w:szCs w:val="18"/>
              </w:rPr>
              <w:t>coverage contract.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Be aware of and ready to meet all time-sensitive provisions in </w:t>
            </w:r>
            <w:r>
              <w:rPr>
                <w:rFonts w:ascii="Arial" w:hAnsi="Arial" w:cs="Arial"/>
                <w:sz w:val="18"/>
                <w:szCs w:val="18"/>
              </w:rPr>
              <w:t>the coverage contract</w:t>
            </w:r>
            <w:r w:rsidRPr="00047C1F">
              <w:rPr>
                <w:rFonts w:ascii="Arial" w:hAnsi="Arial" w:cs="Arial"/>
                <w:sz w:val="18"/>
                <w:szCs w:val="18"/>
              </w:rPr>
              <w:t>, including requirements on filing proof of loss and suit (especially critical for National Flood</w:t>
            </w:r>
          </w:p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Insurance policies).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10790" w:type="dxa"/>
            <w:gridSpan w:val="4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b/>
                <w:color w:val="00659E"/>
                <w:sz w:val="18"/>
                <w:szCs w:val="18"/>
              </w:rPr>
              <w:t>Evaluate property loss control and property security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Identify locations — your own,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the citizens’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, and your suppliers' — that might be exposed to direct or indirect hurricane damage.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spacing w:before="104" w:after="67" w:line="168" w:lineRule="exact"/>
              <w:ind w:right="324"/>
              <w:textAlignment w:val="baseline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Review plans or policies for mitigating property damage before a storm hits and for recovery when it's over.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Default="00C112E4" w:rsidP="00C112E4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bookmarkStart w:id="0" w:name="_Hlk163568026"/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Evaluate buildings' and critical equipment's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exposure to wind and flood hazards.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112E4" w:rsidRDefault="00C112E4" w:rsidP="00C112E4">
            <w:pPr>
              <w:pStyle w:val="ListParagraph"/>
              <w:numPr>
                <w:ilvl w:val="0"/>
                <w:numId w:val="1"/>
              </w:num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Relocate high value assets </w:t>
            </w: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— </w:t>
            </w: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such as fire trucks </w:t>
            </w: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— </w:t>
            </w: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>out of harm’s way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until the storm passes</w:t>
            </w: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>.</w:t>
            </w:r>
          </w:p>
          <w:p w:rsidR="00C112E4" w:rsidRDefault="00C112E4" w:rsidP="00C112E4">
            <w:pPr>
              <w:pStyle w:val="ListParagraph"/>
              <w:numPr>
                <w:ilvl w:val="0"/>
                <w:numId w:val="1"/>
              </w:num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Move fleet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vehicles, equipment and contents from low-lying flood prone areas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.</w:t>
            </w:r>
          </w:p>
          <w:p w:rsidR="00C112E4" w:rsidRDefault="00C112E4" w:rsidP="00C112E4">
            <w:pPr>
              <w:pStyle w:val="ListParagraph"/>
              <w:numPr>
                <w:ilvl w:val="0"/>
                <w:numId w:val="1"/>
              </w:num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Secure all doors and board up windows to protect from flying debris. </w:t>
            </w:r>
          </w:p>
          <w:p w:rsidR="00C112E4" w:rsidRDefault="00C112E4" w:rsidP="00C112E4">
            <w:pPr>
              <w:pStyle w:val="ListParagraph"/>
              <w:numPr>
                <w:ilvl w:val="0"/>
                <w:numId w:val="1"/>
              </w:num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Remove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or secure</w:t>
            </w:r>
            <w:r w:rsidRPr="00AA173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outdoor items to prevent them from becoming flying objects in the event of high winds. </w:t>
            </w:r>
          </w:p>
          <w:p w:rsidR="00C112E4" w:rsidRPr="00AA173C" w:rsidRDefault="00C112E4" w:rsidP="00C112E4">
            <w:pPr>
              <w:pStyle w:val="ListParagraph"/>
              <w:numPr>
                <w:ilvl w:val="0"/>
                <w:numId w:val="1"/>
              </w:num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Clear rain gutters and downspouts and check drain pumps.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bookmarkEnd w:id="0"/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Ensure that storm-monitoring systems are operating effectively to enable sufficient time for an organized shutdown.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Verify that battery-operated equipment and other supplies needed to maintain property integrity and security are available and operational.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lastRenderedPageBreak/>
              <w:t>Identify security resources — fencing, barriers, additional manpower — that may be needed.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spacing w:before="74" w:after="17" w:line="202" w:lineRule="exact"/>
              <w:textAlignment w:val="baseline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Identify and update phone lists of roofing, electrical, and restoration contractors.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453643">
        <w:tc>
          <w:tcPr>
            <w:tcW w:w="10790" w:type="dxa"/>
            <w:gridSpan w:val="4"/>
            <w:vAlign w:val="center"/>
          </w:tcPr>
          <w:p w:rsidR="00C112E4" w:rsidRPr="00047C1F" w:rsidRDefault="00C112E4" w:rsidP="00C11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63571243"/>
            <w:r w:rsidRPr="00047C1F">
              <w:rPr>
                <w:rFonts w:ascii="Arial" w:eastAsia="Tahoma" w:hAnsi="Arial" w:cs="Arial"/>
                <w:b/>
                <w:color w:val="00659E"/>
                <w:sz w:val="18"/>
                <w:szCs w:val="18"/>
              </w:rPr>
              <w:t>Evaluate business continuity, emergency response, and crisis management plans</w:t>
            </w:r>
          </w:p>
        </w:tc>
      </w:tr>
      <w:bookmarkEnd w:id="1"/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Review and update business continuity plans based on potential impacts inside and outside the strike zone.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Verify suppliers' business continuity plans.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Evaluate possible impacts on employees, c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itizen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s, and vendors.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Monitor NOAA, local, county, state, and federal response agency announcements.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Contact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other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local government agencies and emergency services to establish tiered and coordinated response procedures.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Discuss with local businesses possible recovery-coordination efforts post-storm.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Assess crisis management procedures and tiered-response actions that elevate as impacts and disruptions become more severe.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Develop tailored messaging and communications for employees, c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itizens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, and suppliers regarding hurricane policies and procedures.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Identify and perform preventative maintenance on backup resources such as generators.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color w:val="00659E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b/>
                <w:color w:val="00659E"/>
                <w:sz w:val="18"/>
                <w:szCs w:val="18"/>
              </w:rPr>
              <w:t>Plan for employee safety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Review and update employee evacuation and notification plans, including employee home and emergency contact lists.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spacing w:before="75" w:after="34" w:line="201" w:lineRule="exact"/>
              <w:textAlignment w:val="baseline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Develop a communications strategy for employees at all levels of the organization.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Stress test communications procedures and systems.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spacing w:before="72" w:after="24" w:line="203" w:lineRule="exact"/>
              <w:textAlignment w:val="baseline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Ensure all employees are aware of emergency policies and procedures.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Ensure that employees who stay on-site during a storm have current contact lists, potable water, nonperishable food, first-aid kits, flashlights, hand-held radios or cell phones, and other supplies.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Arrange for employees to work remotely when necessary.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Establish procedures to account for employees and to disseminate information.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tabs>
                <w:tab w:val="left" w:pos="7200"/>
              </w:tabs>
              <w:spacing w:before="147" w:line="182" w:lineRule="exact"/>
              <w:ind w:right="50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Review human-resource-related issues, including skills inventories, leaves of absences, and potential payments to injured, homeless, or evacuated staff.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3E03E6">
        <w:tc>
          <w:tcPr>
            <w:tcW w:w="10790" w:type="dxa"/>
            <w:gridSpan w:val="4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b/>
                <w:color w:val="00659E"/>
                <w:sz w:val="18"/>
                <w:szCs w:val="18"/>
              </w:rPr>
              <w:t>Evaluate claims preparation and management issues</w:t>
            </w:r>
            <w:r w:rsidRPr="00047C1F">
              <w:rPr>
                <w:rFonts w:ascii="Arial" w:eastAsia="Tahoma" w:hAnsi="Arial" w:cs="Arial"/>
                <w:color w:val="00659E"/>
                <w:sz w:val="18"/>
                <w:szCs w:val="18"/>
              </w:rPr>
              <w:tab/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tabs>
                <w:tab w:val="left" w:pos="7200"/>
              </w:tabs>
              <w:spacing w:before="132" w:line="202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Ensure that all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SCMIRF 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claims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contact information is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identified in advance and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is accessible after an event. 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tabs>
                <w:tab w:val="left" w:pos="7272"/>
                <w:tab w:val="left" w:pos="8424"/>
              </w:tabs>
              <w:spacing w:line="248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Follow SCMIRF claims submission protocols and b</w:t>
            </w:r>
            <w:r w:rsidRPr="00047C1F">
              <w:rPr>
                <w:rFonts w:ascii="Arial" w:eastAsia="Tahoma" w:hAnsi="Arial" w:cs="Arial"/>
                <w:color w:val="000000"/>
                <w:sz w:val="18"/>
                <w:szCs w:val="18"/>
              </w:rPr>
              <w:t>e prepared to meet with all parties to establish claims and communications guidelines immediately after an event.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Review and update procedures and responsibilities for gathering and processing</w:t>
            </w:r>
            <w:r w:rsidRPr="00047C1F">
              <w:rPr>
                <w:rFonts w:ascii="Arial" w:hAnsi="Arial" w:cs="Arial"/>
                <w:sz w:val="18"/>
                <w:szCs w:val="18"/>
              </w:rPr>
              <w:tab/>
            </w:r>
          </w:p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claims information. This should include identifying outside resources needed for </w:t>
            </w:r>
          </w:p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>claims preparation and recovery.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Secure and duplicate vital financial records – paper based and digital – at a water and wind protected site. 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112E4" w:rsidTr="00047C1F">
        <w:tc>
          <w:tcPr>
            <w:tcW w:w="7555" w:type="dxa"/>
            <w:vAlign w:val="center"/>
          </w:tcPr>
          <w:p w:rsidR="00C112E4" w:rsidRPr="00047C1F" w:rsidRDefault="00C112E4" w:rsidP="00C112E4">
            <w:pPr>
              <w:rPr>
                <w:rFonts w:ascii="Arial" w:hAnsi="Arial" w:cs="Arial"/>
                <w:sz w:val="18"/>
                <w:szCs w:val="18"/>
              </w:rPr>
            </w:pPr>
            <w:r w:rsidRPr="00047C1F">
              <w:rPr>
                <w:rFonts w:ascii="Arial" w:hAnsi="Arial" w:cs="Arial"/>
                <w:sz w:val="18"/>
                <w:szCs w:val="18"/>
              </w:rPr>
              <w:t xml:space="preserve">Maintain detailed tracking of all documentation requests – what was requested, who requested it, who is responsible to respond, and when and to whom the information was sent. 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0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95" w:type="dxa"/>
            <w:vAlign w:val="center"/>
          </w:tcPr>
          <w:p w:rsidR="00C112E4" w:rsidRPr="00766110" w:rsidRDefault="00C112E4" w:rsidP="00C11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11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766110" w:rsidRDefault="00766110" w:rsidP="00047C1F">
      <w:pPr>
        <w:spacing w:line="275" w:lineRule="exact"/>
        <w:textAlignment w:val="baseline"/>
        <w:rPr>
          <w:rFonts w:eastAsia="Arial" w:cstheme="minorHAnsi"/>
          <w:b/>
          <w:color w:val="00659E"/>
          <w:spacing w:val="8"/>
        </w:rPr>
      </w:pPr>
    </w:p>
    <w:p w:rsidR="00047C1F" w:rsidRPr="00766110" w:rsidRDefault="00047C1F" w:rsidP="00047C1F">
      <w:pPr>
        <w:spacing w:line="275" w:lineRule="exact"/>
        <w:textAlignment w:val="baseline"/>
        <w:rPr>
          <w:rFonts w:eastAsia="Arial" w:cstheme="minorHAnsi"/>
          <w:b/>
          <w:color w:val="0A7489"/>
          <w:spacing w:val="8"/>
          <w:sz w:val="20"/>
          <w:szCs w:val="20"/>
        </w:rPr>
      </w:pPr>
      <w:r w:rsidRPr="00766110">
        <w:rPr>
          <w:rFonts w:eastAsia="Arial" w:cstheme="minorHAnsi"/>
          <w:b/>
          <w:color w:val="00659E"/>
          <w:spacing w:val="8"/>
          <w:sz w:val="20"/>
          <w:szCs w:val="20"/>
        </w:rPr>
        <w:t>Meeting your hurricane preparation and response needs</w:t>
      </w:r>
    </w:p>
    <w:p w:rsidR="00047C1F" w:rsidRPr="00766110" w:rsidRDefault="00047C1F" w:rsidP="00047C1F">
      <w:pPr>
        <w:spacing w:before="72" w:line="217" w:lineRule="exact"/>
        <w:ind w:right="864"/>
        <w:jc w:val="both"/>
        <w:textAlignment w:val="baseline"/>
        <w:rPr>
          <w:rFonts w:eastAsia="Tahoma" w:cstheme="minorHAnsi"/>
          <w:sz w:val="20"/>
          <w:szCs w:val="20"/>
        </w:rPr>
      </w:pPr>
      <w:r w:rsidRPr="00766110">
        <w:rPr>
          <w:rFonts w:eastAsia="Tahoma" w:cstheme="minorHAnsi"/>
          <w:color w:val="000000"/>
          <w:sz w:val="20"/>
          <w:szCs w:val="20"/>
        </w:rPr>
        <w:t xml:space="preserve">For more help with hurricane planning, response, and recovery issues, </w:t>
      </w:r>
      <w:r w:rsidR="00E872E3">
        <w:rPr>
          <w:rFonts w:eastAsia="Tahoma" w:cstheme="minorHAnsi"/>
          <w:color w:val="000000"/>
          <w:sz w:val="20"/>
          <w:szCs w:val="20"/>
        </w:rPr>
        <w:t xml:space="preserve">contact </w:t>
      </w:r>
      <w:r w:rsidRPr="00766110">
        <w:rPr>
          <w:rFonts w:eastAsia="Tahoma" w:cstheme="minorHAnsi"/>
          <w:color w:val="000000"/>
          <w:sz w:val="20"/>
          <w:szCs w:val="20"/>
        </w:rPr>
        <w:t>your Risk Management Services</w:t>
      </w:r>
      <w:r w:rsidR="00766110" w:rsidRPr="00766110">
        <w:rPr>
          <w:rFonts w:eastAsia="Tahoma" w:cstheme="minorHAnsi"/>
          <w:color w:val="000000"/>
          <w:sz w:val="20"/>
          <w:szCs w:val="20"/>
        </w:rPr>
        <w:t xml:space="preserve"> l</w:t>
      </w:r>
      <w:r w:rsidRPr="00766110">
        <w:rPr>
          <w:rFonts w:eastAsia="Tahoma" w:cstheme="minorHAnsi"/>
          <w:color w:val="000000"/>
          <w:sz w:val="20"/>
          <w:szCs w:val="20"/>
        </w:rPr>
        <w:t>oss control consultant</w:t>
      </w:r>
      <w:r w:rsidR="00E872E3">
        <w:rPr>
          <w:rFonts w:eastAsia="Tahoma" w:cstheme="minorHAnsi"/>
          <w:color w:val="000000"/>
          <w:sz w:val="20"/>
          <w:szCs w:val="20"/>
        </w:rPr>
        <w:t xml:space="preserve"> </w:t>
      </w:r>
      <w:r w:rsidR="00392BEF">
        <w:rPr>
          <w:rFonts w:eastAsia="Tahoma" w:cstheme="minorHAnsi"/>
          <w:color w:val="000000"/>
          <w:sz w:val="20"/>
          <w:szCs w:val="20"/>
        </w:rPr>
        <w:t xml:space="preserve">at </w:t>
      </w:r>
      <w:hyperlink r:id="rId7" w:history="1">
        <w:r w:rsidR="00392BEF" w:rsidRPr="00E64D28">
          <w:rPr>
            <w:rStyle w:val="Hyperlink"/>
            <w:rFonts w:eastAsia="Tahoma" w:cstheme="minorHAnsi"/>
            <w:sz w:val="20"/>
            <w:szCs w:val="20"/>
          </w:rPr>
          <w:t>losscontrol@masc.sc</w:t>
        </w:r>
      </w:hyperlink>
      <w:r w:rsidR="00392BEF">
        <w:rPr>
          <w:rFonts w:eastAsia="Tahoma" w:cstheme="minorHAnsi"/>
          <w:color w:val="000000"/>
          <w:sz w:val="20"/>
          <w:szCs w:val="20"/>
        </w:rPr>
        <w:t xml:space="preserve">. </w:t>
      </w:r>
      <w:bookmarkStart w:id="2" w:name="_GoBack"/>
      <w:bookmarkEnd w:id="2"/>
      <w:r w:rsidR="00E872E3">
        <w:rPr>
          <w:rFonts w:eastAsia="Tahoma" w:cstheme="minorHAnsi"/>
          <w:color w:val="000000"/>
          <w:sz w:val="20"/>
          <w:szCs w:val="20"/>
        </w:rPr>
        <w:t>to</w:t>
      </w:r>
      <w:r w:rsidRPr="00766110">
        <w:rPr>
          <w:rFonts w:eastAsia="Tahoma" w:cstheme="minorHAnsi"/>
          <w:color w:val="000000"/>
          <w:sz w:val="20"/>
          <w:szCs w:val="20"/>
        </w:rPr>
        <w:t xml:space="preserve"> connect you to the appropriate</w:t>
      </w:r>
      <w:r w:rsidR="00E872E3">
        <w:rPr>
          <w:rFonts w:eastAsia="Tahoma" w:cstheme="minorHAnsi"/>
          <w:color w:val="000000"/>
          <w:sz w:val="20"/>
          <w:szCs w:val="20"/>
        </w:rPr>
        <w:t xml:space="preserve"> </w:t>
      </w:r>
      <w:r w:rsidRPr="00766110">
        <w:rPr>
          <w:rFonts w:eastAsia="Tahoma" w:cstheme="minorHAnsi"/>
          <w:color w:val="000000"/>
          <w:sz w:val="20"/>
          <w:szCs w:val="20"/>
        </w:rPr>
        <w:t xml:space="preserve">resources. You can also visit the </w:t>
      </w:r>
      <w:hyperlink r:id="rId8" w:history="1">
        <w:r w:rsidRPr="00766110">
          <w:rPr>
            <w:rStyle w:val="Hyperlink"/>
            <w:rFonts w:cstheme="minorHAnsi"/>
            <w:color w:val="auto"/>
            <w:sz w:val="20"/>
            <w:szCs w:val="20"/>
          </w:rPr>
          <w:t>South Carolina Hurricane Guide - South Carolina Emergency Management Division (scemd.org)</w:t>
        </w:r>
      </w:hyperlink>
      <w:r w:rsidRPr="00766110">
        <w:rPr>
          <w:rFonts w:cstheme="minorHAnsi"/>
          <w:sz w:val="20"/>
          <w:szCs w:val="20"/>
        </w:rPr>
        <w:t xml:space="preserve"> for</w:t>
      </w:r>
      <w:r w:rsidRPr="00766110">
        <w:rPr>
          <w:rFonts w:eastAsia="Tahoma" w:cstheme="minorHAnsi"/>
          <w:sz w:val="20"/>
          <w:szCs w:val="20"/>
        </w:rPr>
        <w:t xml:space="preserve"> additional information.</w:t>
      </w:r>
    </w:p>
    <w:sectPr w:rsidR="00047C1F" w:rsidRPr="00766110" w:rsidSect="00506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37D94"/>
    <w:multiLevelType w:val="hybridMultilevel"/>
    <w:tmpl w:val="88B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74"/>
    <w:rsid w:val="0002195B"/>
    <w:rsid w:val="0004034A"/>
    <w:rsid w:val="00047C1F"/>
    <w:rsid w:val="000B2674"/>
    <w:rsid w:val="0020092B"/>
    <w:rsid w:val="00274DD7"/>
    <w:rsid w:val="0028664D"/>
    <w:rsid w:val="003748DB"/>
    <w:rsid w:val="00392BEF"/>
    <w:rsid w:val="003B43B6"/>
    <w:rsid w:val="00501333"/>
    <w:rsid w:val="00506E61"/>
    <w:rsid w:val="00516321"/>
    <w:rsid w:val="0055476F"/>
    <w:rsid w:val="005E3EE0"/>
    <w:rsid w:val="00766110"/>
    <w:rsid w:val="00791F6E"/>
    <w:rsid w:val="008830A5"/>
    <w:rsid w:val="00963CD0"/>
    <w:rsid w:val="00AA173C"/>
    <w:rsid w:val="00AE3D72"/>
    <w:rsid w:val="00B104DD"/>
    <w:rsid w:val="00B23E89"/>
    <w:rsid w:val="00B6039C"/>
    <w:rsid w:val="00BF635B"/>
    <w:rsid w:val="00C112E4"/>
    <w:rsid w:val="00D10417"/>
    <w:rsid w:val="00D548CD"/>
    <w:rsid w:val="00DD4EBE"/>
    <w:rsid w:val="00E872E3"/>
    <w:rsid w:val="00F31B33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6E70"/>
  <w15:chartTrackingRefBased/>
  <w15:docId w15:val="{D7A72DC4-3452-42D9-89C2-0FB7D9E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C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3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17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emd.org/stay-informed/publications/hurricane-guide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sscontrol@masc.sc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A6F9149CA024CB79E41871FDFB2EA" ma:contentTypeVersion="101" ma:contentTypeDescription="Create a new document." ma:contentTypeScope="" ma:versionID="18d56457c732bca98fc35a310b488fc8">
  <xsd:schema xmlns:xsd="http://www.w3.org/2001/XMLSchema" xmlns:xs="http://www.w3.org/2001/XMLSchema" xmlns:p="http://schemas.microsoft.com/office/2006/metadata/properties" xmlns:ns2="94a6119d-4612-4b57-b01d-82a966e1e982" xmlns:ns3="b80a0ab0-c868-4229-b9fd-cdea7c8e087b" targetNamespace="http://schemas.microsoft.com/office/2006/metadata/properties" ma:root="true" ma:fieldsID="d582855bb93b32311c555f3552765b5c" ns2:_="" ns3:_="">
    <xsd:import namespace="94a6119d-4612-4b57-b01d-82a966e1e982"/>
    <xsd:import namespace="b80a0ab0-c868-4229-b9fd-cdea7c8e087b"/>
    <xsd:element name="properties">
      <xsd:complexType>
        <xsd:sequence>
          <xsd:element name="documentManagement">
            <xsd:complexType>
              <xsd:all>
                <xsd:element ref="ns2:MASCotContact" minOccurs="0"/>
                <xsd:element ref="ns2:MASCotReviewPeriod" minOccurs="0"/>
                <xsd:element ref="ns2:TaxCatchAll" minOccurs="0"/>
                <xsd:element ref="ns2:Municipality_x002F_EntityTaxHTField0" minOccurs="0"/>
                <xsd:element ref="ns2:RMS_x0020_ProgramTaxHTField0" minOccurs="0"/>
                <xsd:element ref="ns2:YearTaxHTField0" minOccurs="0"/>
                <xsd:element ref="ns2:geb920c4276c482c94a407891df63396" minOccurs="0"/>
                <xsd:element ref="ns2:Member_x0020_Services_x0020_Document_x0020_TypeTaxHTField0" minOccurs="0"/>
                <xsd:element ref="ns2:Content_x0020_TypeTaxHTFiel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6119d-4612-4b57-b01d-82a966e1e982" elementFormDefault="qualified">
    <xsd:import namespace="http://schemas.microsoft.com/office/2006/documentManagement/types"/>
    <xsd:import namespace="http://schemas.microsoft.com/office/infopath/2007/PartnerControls"/>
    <xsd:element name="MASCotContact" ma:index="10" nillable="true" ma:displayName="MASCot Contact" ma:list="UserInfo" ma:SharePointGroup="0" ma:internalName="MASCot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SCotReviewPeriod" ma:index="11" nillable="true" ma:displayName="MASCot Review Period" ma:format="Dropdown" ma:internalName="MASCotReviewPeriod" ma:readOnly="false">
      <xsd:simpleType>
        <xsd:restriction base="dms:Choice">
          <xsd:enumeration value="3 Months"/>
          <xsd:enumeration value="6 Months"/>
          <xsd:enumeration value="1 Year"/>
        </xsd:restriction>
      </xsd:simpleType>
    </xsd:element>
    <xsd:element name="TaxCatchAll" ma:index="12" nillable="true" ma:displayName="Taxonomy Catch All Column" ma:hidden="true" ma:list="{17487c51-5803-4fbe-a1c9-0aca73d15746}" ma:internalName="TaxCatchAll" ma:showField="CatchAllData" ma:web="94a6119d-4612-4b57-b01d-82a966e1e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unicipality_x002F_EntityTaxHTField0" ma:index="13" nillable="true" ma:taxonomy="true" ma:internalName="Municipality_x002F_EntityTaxHTField0" ma:taxonomyFieldName="Municipality_x002f_Entity" ma:displayName="Municipality/Entity" ma:indexed="true" ma:readOnly="false" ma:fieldId="{9f44798a-2727-4a2c-a54d-f41bb0f5cace}" ma:sspId="df1f66cd-8416-433e-9256-0257c23a4ee7" ma:termSetId="4d69ccf0-3144-409d-b0ab-45712e775632" ma:anchorId="d543fe0d-196f-4cb7-a549-7f06e7cdea3a" ma:open="false" ma:isKeyword="false">
      <xsd:complexType>
        <xsd:sequence>
          <xsd:element ref="pc:Terms" minOccurs="0" maxOccurs="1"/>
        </xsd:sequence>
      </xsd:complexType>
    </xsd:element>
    <xsd:element name="RMS_x0020_ProgramTaxHTField0" ma:index="15" nillable="true" ma:taxonomy="true" ma:internalName="RMS_x0020_ProgramTaxHTField0" ma:taxonomyFieldName="RMS_x0020_Program" ma:displayName="RMS Program" ma:indexed="true" ma:readOnly="false" ma:fieldId="{1b0e3d7e-d0ad-4506-8e46-493ebd02e912}" ma:sspId="df1f66cd-8416-433e-9256-0257c23a4ee7" ma:termSetId="5130e80b-073a-43c8-a2f5-090b8a87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TaxHTField0" ma:index="17" nillable="true" ma:taxonomy="true" ma:internalName="YearTaxHTField0" ma:taxonomyFieldName="Year" ma:displayName="Year" ma:indexed="true" ma:readOnly="false" ma:default="-1;#2018|f6ff72ff-3cc8-4eb5-b026-1b9910252e09" ma:fieldId="{8dfa4fc5-c4d6-4ecf-ac1d-e1412b0dd6bd}" ma:sspId="df1f66cd-8416-433e-9256-0257c23a4ee7" ma:termSetId="fa4817e5-e540-4562-9877-5041e451025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920c4276c482c94a407891df63396" ma:index="19" nillable="true" ma:taxonomy="true" ma:internalName="geb920c4276c482c94a407891df63396" ma:taxonomyFieldName="MASCotTag" ma:displayName="MASCot Tag" ma:readOnly="false" ma:fieldId="{0eb920c4-276c-482c-94a4-07891df63396}" ma:sspId="df1f66cd-8416-433e-9256-0257c23a4ee7" ma:termSetId="77da34b4-23ec-4e5a-9006-54b1d8a9a6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Services_x0020_Document_x0020_TypeTaxHTField0" ma:index="20" nillable="true" ma:taxonomy="true" ma:internalName="Member_x0020_Services_x0020_Document_x0020_TypeTaxHTField0" ma:taxonomyFieldName="Member_x0020_Services_x0020_Document_x0020_Type" ma:displayName="Document Type" ma:indexed="true" ma:readOnly="false" ma:fieldId="{936dfbf4-3e9e-461d-9d1b-b93e32b3f1c3}" ma:sspId="df1f66cd-8416-433e-9256-0257c23a4ee7" ma:termSetId="b324d194-a0d3-4cfc-ad63-b0766d10ebaf" ma:anchorId="2db572ac-6827-46a9-bf32-94cb01594edc" ma:open="false" ma:isKeyword="false">
      <xsd:complexType>
        <xsd:sequence>
          <xsd:element ref="pc:Terms" minOccurs="0" maxOccurs="1"/>
        </xsd:sequence>
      </xsd:complexType>
    </xsd:element>
    <xsd:element name="Content_x0020_TypeTaxHTField0" ma:index="22" nillable="true" ma:taxonomy="true" ma:internalName="Content_x0020_TypeTaxHTField0" ma:taxonomyFieldName="Content_x0020_Type" ma:displayName="Content Type" ma:indexed="true" ma:readOnly="false" ma:fieldId="{69068555-679c-4d30-b033-08ec677a45ea}" ma:sspId="df1f66cd-8416-433e-9256-0257c23a4ee7" ma:termSetId="47ec8020-24b5-41e5-8a5a-d7d7979bf6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a0ab0-c868-4229-b9fd-cdea7c8e0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df1f66cd-8416-433e-9256-0257c23a4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TaxHTField0 xmlns="94a6119d-4612-4b57-b01d-82a966e1e9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f6ff72ff-3cc8-4eb5-b026-1b9910252e09</TermId>
        </TermInfo>
      </Terms>
    </YearTaxHTField0>
    <TaxCatchAll xmlns="94a6119d-4612-4b57-b01d-82a966e1e982">
      <Value>1</Value>
    </TaxCatchAll>
    <Member_x0020_Services_x0020_Document_x0020_TypeTaxHTField0 xmlns="94a6119d-4612-4b57-b01d-82a966e1e982">
      <Terms xmlns="http://schemas.microsoft.com/office/infopath/2007/PartnerControls"/>
    </Member_x0020_Services_x0020_Document_x0020_TypeTaxHTField0>
    <Municipality_x002F_EntityTaxHTField0 xmlns="94a6119d-4612-4b57-b01d-82a966e1e982">
      <Terms xmlns="http://schemas.microsoft.com/office/infopath/2007/PartnerControls"/>
    </Municipality_x002F_EntityTaxHTField0>
    <Content_x0020_TypeTaxHTField0 xmlns="94a6119d-4612-4b57-b01d-82a966e1e982">
      <Terms xmlns="http://schemas.microsoft.com/office/infopath/2007/PartnerControls"/>
    </Content_x0020_TypeTaxHTField0>
    <MASCotReviewPeriod xmlns="94a6119d-4612-4b57-b01d-82a966e1e982" xsi:nil="true"/>
    <lcf76f155ced4ddcb4097134ff3c332f xmlns="b80a0ab0-c868-4229-b9fd-cdea7c8e087b">
      <Terms xmlns="http://schemas.microsoft.com/office/infopath/2007/PartnerControls"/>
    </lcf76f155ced4ddcb4097134ff3c332f>
    <MASCotContact xmlns="94a6119d-4612-4b57-b01d-82a966e1e982">
      <UserInfo>
        <DisplayName/>
        <AccountId xsi:nil="true"/>
        <AccountType/>
      </UserInfo>
    </MASCotContact>
    <RMS_x0020_ProgramTaxHTField0 xmlns="94a6119d-4612-4b57-b01d-82a966e1e982">
      <Terms xmlns="http://schemas.microsoft.com/office/infopath/2007/PartnerControls"/>
    </RMS_x0020_ProgramTaxHTField0>
    <geb920c4276c482c94a407891df63396 xmlns="94a6119d-4612-4b57-b01d-82a966e1e982">
      <Terms xmlns="http://schemas.microsoft.com/office/infopath/2007/PartnerControls"/>
    </geb920c4276c482c94a407891df63396>
  </documentManagement>
</p:properties>
</file>

<file path=customXml/itemProps1.xml><?xml version="1.0" encoding="utf-8"?>
<ds:datastoreItem xmlns:ds="http://schemas.openxmlformats.org/officeDocument/2006/customXml" ds:itemID="{AF436B2F-91C1-4978-BDAD-08263A190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4DE80-D002-43B1-A0B8-BB287ED77582}"/>
</file>

<file path=customXml/itemProps3.xml><?xml version="1.0" encoding="utf-8"?>
<ds:datastoreItem xmlns:ds="http://schemas.openxmlformats.org/officeDocument/2006/customXml" ds:itemID="{E2A25A72-987D-4D82-88A4-02B7D4EB6D99}"/>
</file>

<file path=customXml/itemProps4.xml><?xml version="1.0" encoding="utf-8"?>
<ds:datastoreItem xmlns:ds="http://schemas.openxmlformats.org/officeDocument/2006/customXml" ds:itemID="{0D36D755-5303-432C-AFB3-CA6D9C4AB9E0}"/>
</file>

<file path=customXml/itemProps5.xml><?xml version="1.0" encoding="utf-8"?>
<ds:datastoreItem xmlns:ds="http://schemas.openxmlformats.org/officeDocument/2006/customXml" ds:itemID="{2BAF642D-0D49-42D6-9958-2DC503B3B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Pendley</dc:creator>
  <cp:keywords/>
  <dc:description/>
  <cp:lastModifiedBy>Heather Ricard</cp:lastModifiedBy>
  <cp:revision>14</cp:revision>
  <dcterms:created xsi:type="dcterms:W3CDTF">2024-04-10T19:14:00Z</dcterms:created>
  <dcterms:modified xsi:type="dcterms:W3CDTF">2024-04-10T19:57:00Z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1;#2018|f6ff72ff-3cc8-4eb5-b026-1b9910252e09</vt:lpwstr>
  </property>
  <property fmtid="{D5CDD505-2E9C-101B-9397-08002B2CF9AE}" pid="3" name="ContentTypeId">
    <vt:lpwstr>0x01010013CA6F9149CA024CB79E41871FDFB2EA</vt:lpwstr>
  </property>
  <property fmtid="{D5CDD505-2E9C-101B-9397-08002B2CF9AE}" pid="4" name="Content_x0020_Type">
    <vt:lpwstr/>
  </property>
  <property fmtid="{D5CDD505-2E9C-101B-9397-08002B2CF9AE}" pid="5" name="MediaServiceImageTags">
    <vt:lpwstr/>
  </property>
  <property fmtid="{D5CDD505-2E9C-101B-9397-08002B2CF9AE}" pid="6" name="Member_x0020_Services_x0020_Document_x0020_Type">
    <vt:lpwstr/>
  </property>
  <property fmtid="{D5CDD505-2E9C-101B-9397-08002B2CF9AE}" pid="7" name="RMS_x0020_Program">
    <vt:lpwstr/>
  </property>
  <property fmtid="{D5CDD505-2E9C-101B-9397-08002B2CF9AE}" pid="8" name="Municipality_x002f_Entity">
    <vt:lpwstr/>
  </property>
  <property fmtid="{D5CDD505-2E9C-101B-9397-08002B2CF9AE}" pid="9" name="MASCotTag">
    <vt:lpwstr/>
  </property>
  <property fmtid="{D5CDD505-2E9C-101B-9397-08002B2CF9AE}" pid="10" name="Member Services Document Type">
    <vt:lpwstr/>
  </property>
  <property fmtid="{D5CDD505-2E9C-101B-9397-08002B2CF9AE}" pid="11" name="RMS Program">
    <vt:lpwstr/>
  </property>
  <property fmtid="{D5CDD505-2E9C-101B-9397-08002B2CF9AE}" pid="12" name="Municipality/Entity">
    <vt:lpwstr/>
  </property>
  <property fmtid="{D5CDD505-2E9C-101B-9397-08002B2CF9AE}" pid="13" name="Content Type">
    <vt:lpwstr/>
  </property>
</Properties>
</file>